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rPr>
          <w:rFonts w:ascii="Marianne" w:hAnsi="Marianne"/>
          <w:sz w:val="20"/>
          <w:szCs w:val="20"/>
        </w:rPr>
      </w:pPr>
      <w:r>
        <w:rPr>
          <w:rFonts w:ascii="Marianne" w:hAnsi="Marianne" w:cs="Calibri"/>
          <w:b/>
          <w:noProof/>
          <w:color w:val="2F5496" w:themeColor="accent1" w:themeShade="BF"/>
          <w:sz w:val="24"/>
        </w:rPr>
        <w:drawing>
          <wp:anchor distT="0" distB="0" distL="114300" distR="114300" simplePos="0" relativeHeight="251659264" behindDoc="0" locked="0" layoutInCell="1" allowOverlap="1">
            <wp:simplePos x="0" y="0"/>
            <wp:positionH relativeFrom="column">
              <wp:posOffset>-175895</wp:posOffset>
            </wp:positionH>
            <wp:positionV relativeFrom="paragraph">
              <wp:posOffset>0</wp:posOffset>
            </wp:positionV>
            <wp:extent cx="1477010" cy="1099185"/>
            <wp:effectExtent l="0" t="0" r="8890" b="5715"/>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77010" cy="1099185"/>
                    </a:xfrm>
                    <a:prstGeom prst="rect">
                      <a:avLst/>
                    </a:prstGeom>
                    <a:noFill/>
                  </pic:spPr>
                </pic:pic>
              </a:graphicData>
            </a:graphic>
            <wp14:sizeRelH relativeFrom="margin">
              <wp14:pctWidth>0</wp14:pctWidth>
            </wp14:sizeRelH>
            <wp14:sizeRelV relativeFrom="margin">
              <wp14:pctHeight>0</wp14:pctHeight>
            </wp14:sizeRelV>
          </wp:anchor>
        </w:drawing>
      </w:r>
      <w:r>
        <w:tab/>
      </w:r>
      <w:r>
        <w:tab/>
      </w:r>
    </w:p>
    <w:p>
      <w:pPr>
        <w:rPr>
          <w:rFonts w:ascii="Marianne" w:hAnsi="Marianne"/>
          <w:sz w:val="20"/>
          <w:szCs w:val="20"/>
        </w:rPr>
      </w:pPr>
      <w:r>
        <w:rPr>
          <w:rFonts w:ascii="Marianne" w:hAnsi="Marianne" w:cs="Calibri"/>
          <w:b/>
          <w:color w:val="2F5496" w:themeColor="accent1" w:themeShade="BF"/>
          <w:sz w:val="20"/>
          <w:szCs w:val="20"/>
        </w:rPr>
        <w:t xml:space="preserve">                                                    </w:t>
      </w:r>
      <w:r>
        <w:rPr>
          <w:rFonts w:ascii="Marianne" w:hAnsi="Marianne" w:cs="Calibri"/>
          <w:b/>
          <w:sz w:val="20"/>
          <w:szCs w:val="20"/>
        </w:rPr>
        <w:t>Direction des achats de l’Etat</w:t>
      </w:r>
    </w:p>
    <w:p>
      <w:pPr>
        <w:rPr>
          <w:rFonts w:ascii="Marianne" w:hAnsi="Marianne"/>
          <w:sz w:val="20"/>
          <w:szCs w:val="20"/>
        </w:rPr>
      </w:pPr>
    </w:p>
    <w:p>
      <w:pPr>
        <w:rPr>
          <w:rFonts w:ascii="Marianne" w:hAnsi="Marianne"/>
          <w:sz w:val="20"/>
          <w:szCs w:val="20"/>
        </w:rPr>
      </w:pPr>
    </w:p>
    <w:p>
      <w:pPr>
        <w:rPr>
          <w:rFonts w:ascii="Marianne" w:hAnsi="Marianne"/>
          <w:sz w:val="20"/>
          <w:szCs w:val="20"/>
        </w:rPr>
      </w:pPr>
    </w:p>
    <w:p>
      <w:pPr>
        <w:pBdr>
          <w:top w:val="single" w:sz="4" w:space="1" w:color="auto"/>
          <w:left w:val="single" w:sz="4" w:space="4" w:color="auto"/>
          <w:bottom w:val="single" w:sz="4" w:space="1" w:color="auto"/>
          <w:right w:val="single" w:sz="4" w:space="4" w:color="auto"/>
        </w:pBdr>
        <w:spacing w:after="0" w:line="240" w:lineRule="auto"/>
        <w:jc w:val="center"/>
        <w:rPr>
          <w:rFonts w:ascii="Marianne" w:eastAsia="Times New Roman" w:hAnsi="Marianne" w:cs="Calibri"/>
          <w:b/>
          <w:bCs/>
          <w:color w:val="000000"/>
          <w:sz w:val="20"/>
          <w:szCs w:val="20"/>
          <w:lang w:eastAsia="fr-FR"/>
        </w:rPr>
      </w:pPr>
    </w:p>
    <w:p>
      <w:pPr>
        <w:pBdr>
          <w:top w:val="single" w:sz="4" w:space="1" w:color="auto"/>
          <w:left w:val="single" w:sz="4" w:space="4" w:color="auto"/>
          <w:bottom w:val="single" w:sz="4" w:space="1" w:color="auto"/>
          <w:right w:val="single" w:sz="4" w:space="4" w:color="auto"/>
        </w:pBdr>
        <w:spacing w:after="0" w:line="240" w:lineRule="auto"/>
        <w:jc w:val="center"/>
        <w:rPr>
          <w:rFonts w:ascii="Marianne" w:eastAsia="Times New Roman" w:hAnsi="Marianne" w:cs="Calibri"/>
          <w:b/>
          <w:bCs/>
          <w:color w:val="000000"/>
          <w:sz w:val="20"/>
          <w:szCs w:val="20"/>
          <w:lang w:eastAsia="fr-FR"/>
        </w:rPr>
      </w:pPr>
      <w:r>
        <w:rPr>
          <w:rFonts w:ascii="Marianne" w:eastAsia="Times New Roman" w:hAnsi="Marianne" w:cs="Calibri"/>
          <w:b/>
          <w:bCs/>
          <w:color w:val="000000"/>
          <w:sz w:val="20"/>
          <w:szCs w:val="20"/>
          <w:lang w:eastAsia="fr-FR"/>
        </w:rPr>
        <w:t>ACCORD CADRE</w:t>
      </w:r>
    </w:p>
    <w:p>
      <w:pPr>
        <w:pBdr>
          <w:top w:val="single" w:sz="4" w:space="1" w:color="auto"/>
          <w:left w:val="single" w:sz="4" w:space="4" w:color="auto"/>
          <w:bottom w:val="single" w:sz="4" w:space="1" w:color="auto"/>
          <w:right w:val="single" w:sz="4" w:space="4" w:color="auto"/>
        </w:pBdr>
        <w:spacing w:after="0" w:line="240" w:lineRule="auto"/>
        <w:jc w:val="center"/>
        <w:rPr>
          <w:rFonts w:ascii="Marianne" w:eastAsia="Times New Roman" w:hAnsi="Marianne" w:cs="Calibri"/>
          <w:b/>
          <w:bCs/>
          <w:color w:val="000000"/>
          <w:sz w:val="20"/>
          <w:szCs w:val="20"/>
          <w:lang w:eastAsia="fr-FR"/>
        </w:rPr>
      </w:pPr>
      <w:r>
        <w:rPr>
          <w:rFonts w:ascii="Marianne" w:eastAsia="Times New Roman" w:hAnsi="Marianne" w:cs="Calibri"/>
          <w:b/>
          <w:bCs/>
          <w:color w:val="000000"/>
          <w:sz w:val="20"/>
          <w:szCs w:val="20"/>
          <w:lang w:eastAsia="fr-FR"/>
        </w:rPr>
        <w:t>FOURNITURE D’OUTILLAGE, QUINCAILLERIE, SERRURERIE ET MATERIELS DE CHANTIER</w:t>
      </w:r>
    </w:p>
    <w:p>
      <w:pPr>
        <w:pBdr>
          <w:top w:val="single" w:sz="4" w:space="1" w:color="auto"/>
          <w:left w:val="single" w:sz="4" w:space="4" w:color="auto"/>
          <w:bottom w:val="single" w:sz="4" w:space="1" w:color="auto"/>
          <w:right w:val="single" w:sz="4" w:space="4" w:color="auto"/>
        </w:pBdr>
        <w:spacing w:after="0" w:line="240" w:lineRule="auto"/>
        <w:jc w:val="center"/>
        <w:rPr>
          <w:rFonts w:ascii="Marianne" w:eastAsia="Times New Roman" w:hAnsi="Marianne" w:cs="Calibri"/>
          <w:b/>
          <w:bCs/>
          <w:color w:val="000000"/>
          <w:sz w:val="20"/>
          <w:szCs w:val="20"/>
          <w:lang w:eastAsia="fr-FR"/>
        </w:rPr>
      </w:pPr>
      <w:r>
        <w:rPr>
          <w:rFonts w:ascii="Marianne" w:eastAsia="Times New Roman" w:hAnsi="Marianne" w:cs="Calibri"/>
          <w:b/>
          <w:bCs/>
          <w:color w:val="000000"/>
          <w:sz w:val="20"/>
          <w:szCs w:val="20"/>
          <w:lang w:eastAsia="fr-FR"/>
        </w:rPr>
        <w:t xml:space="preserve">CADRE DE RÉPONSE - MEMOIRE TECHNIQUE ET ENVIRONNEMENTAL (CR-MTE) </w:t>
      </w:r>
    </w:p>
    <w:p>
      <w:pPr>
        <w:pBdr>
          <w:top w:val="single" w:sz="4" w:space="1" w:color="auto"/>
          <w:left w:val="single" w:sz="4" w:space="4" w:color="auto"/>
          <w:bottom w:val="single" w:sz="4" w:space="1" w:color="auto"/>
          <w:right w:val="single" w:sz="4" w:space="4" w:color="auto"/>
        </w:pBdr>
        <w:spacing w:after="0" w:line="240" w:lineRule="auto"/>
        <w:jc w:val="center"/>
        <w:rPr>
          <w:rFonts w:ascii="Marianne" w:eastAsia="Times New Roman" w:hAnsi="Marianne" w:cs="Calibri"/>
          <w:b/>
          <w:bCs/>
          <w:color w:val="000000"/>
          <w:sz w:val="20"/>
          <w:szCs w:val="20"/>
          <w:lang w:eastAsia="fr-FR"/>
        </w:rPr>
      </w:pPr>
    </w:p>
    <w:p>
      <w:pPr>
        <w:rPr>
          <w:rFonts w:ascii="Marianne" w:hAnsi="Marianne"/>
          <w:sz w:val="20"/>
          <w:szCs w:val="20"/>
        </w:rPr>
      </w:pPr>
    </w:p>
    <w:p>
      <w:pPr>
        <w:pBdr>
          <w:top w:val="single" w:sz="4" w:space="1" w:color="auto"/>
          <w:left w:val="single" w:sz="4" w:space="4" w:color="auto"/>
          <w:bottom w:val="single" w:sz="4" w:space="1" w:color="auto"/>
          <w:right w:val="single" w:sz="4" w:space="4" w:color="auto"/>
        </w:pBdr>
        <w:rPr>
          <w:rFonts w:ascii="Marianne" w:hAnsi="Marianne"/>
          <w:sz w:val="20"/>
          <w:szCs w:val="20"/>
        </w:rPr>
      </w:pPr>
    </w:p>
    <w:p>
      <w:pPr>
        <w:pStyle w:val="NormalWeb"/>
        <w:pBdr>
          <w:top w:val="single" w:sz="4" w:space="1" w:color="auto"/>
          <w:left w:val="single" w:sz="4" w:space="4" w:color="auto"/>
          <w:bottom w:val="single" w:sz="4" w:space="1" w:color="auto"/>
          <w:right w:val="single" w:sz="4" w:space="4" w:color="auto"/>
        </w:pBdr>
        <w:rPr>
          <w:rFonts w:ascii="Marianne" w:hAnsi="Marianne"/>
          <w:sz w:val="20"/>
          <w:szCs w:val="20"/>
        </w:rPr>
      </w:pPr>
      <w:bookmarkStart w:id="0" w:name="_Hlk144995789"/>
      <w:r>
        <w:rPr>
          <w:rFonts w:ascii="Marianne" w:hAnsi="Marianne"/>
          <w:sz w:val="20"/>
          <w:szCs w:val="20"/>
        </w:rPr>
        <w:t>Le soumissionnaire complète la présente annexe en remplaçant les pointillés par ses réponses.</w:t>
      </w:r>
    </w:p>
    <w:p>
      <w:pPr>
        <w:pStyle w:val="NormalWeb"/>
        <w:pBdr>
          <w:top w:val="single" w:sz="4" w:space="1" w:color="auto"/>
          <w:left w:val="single" w:sz="4" w:space="4" w:color="auto"/>
          <w:bottom w:val="single" w:sz="4" w:space="1" w:color="auto"/>
          <w:right w:val="single" w:sz="4" w:space="4" w:color="auto"/>
        </w:pBdr>
        <w:rPr>
          <w:rFonts w:ascii="Marianne" w:hAnsi="Marianne"/>
          <w:sz w:val="20"/>
          <w:szCs w:val="20"/>
        </w:rPr>
      </w:pPr>
      <w:r>
        <w:rPr>
          <w:rFonts w:ascii="Marianne" w:hAnsi="Marianne"/>
          <w:sz w:val="20"/>
          <w:szCs w:val="20"/>
        </w:rPr>
        <w:t xml:space="preserve">Le mémoire technique et environnemental, correspondant au critère d’attribution mentionné à l’article 7.3 du règlement de la consultation (y compris la page de présentation), est limité à </w:t>
      </w:r>
      <w:r>
        <w:rPr>
          <w:rStyle w:val="lev"/>
          <w:rFonts w:ascii="Marianne" w:hAnsi="Marianne"/>
          <w:sz w:val="20"/>
          <w:szCs w:val="20"/>
        </w:rPr>
        <w:t>50 pages maximum</w:t>
      </w:r>
      <w:r>
        <w:rPr>
          <w:rFonts w:ascii="Marianne" w:hAnsi="Marianne"/>
          <w:sz w:val="20"/>
          <w:szCs w:val="20"/>
        </w:rPr>
        <w:t xml:space="preserve">, rédigées en </w:t>
      </w:r>
      <w:r>
        <w:rPr>
          <w:rStyle w:val="lev"/>
          <w:rFonts w:ascii="Marianne" w:hAnsi="Marianne"/>
          <w:sz w:val="20"/>
          <w:szCs w:val="20"/>
        </w:rPr>
        <w:t>police Arial, taille 11, interligne simple</w:t>
      </w:r>
      <w:r>
        <w:rPr>
          <w:rFonts w:ascii="Marianne" w:hAnsi="Marianne"/>
          <w:sz w:val="20"/>
          <w:szCs w:val="20"/>
        </w:rPr>
        <w:t>.</w:t>
      </w:r>
    </w:p>
    <w:p>
      <w:pPr>
        <w:pStyle w:val="NormalWeb"/>
        <w:pBdr>
          <w:top w:val="single" w:sz="4" w:space="1" w:color="auto"/>
          <w:left w:val="single" w:sz="4" w:space="4" w:color="auto"/>
          <w:bottom w:val="single" w:sz="4" w:space="1" w:color="auto"/>
          <w:right w:val="single" w:sz="4" w:space="4" w:color="auto"/>
        </w:pBdr>
        <w:rPr>
          <w:rFonts w:ascii="Marianne" w:hAnsi="Marianne"/>
          <w:sz w:val="20"/>
          <w:szCs w:val="20"/>
        </w:rPr>
      </w:pPr>
      <w:r>
        <w:rPr>
          <w:rFonts w:ascii="Marianne" w:hAnsi="Marianne"/>
          <w:sz w:val="20"/>
          <w:szCs w:val="20"/>
        </w:rPr>
        <w:t>Le soumissionnaire indique dans son offre une proposition de calendrier de déploiement.</w:t>
      </w:r>
    </w:p>
    <w:p>
      <w:pPr>
        <w:pStyle w:val="NormalWeb"/>
        <w:pBdr>
          <w:top w:val="single" w:sz="4" w:space="1" w:color="auto"/>
          <w:left w:val="single" w:sz="4" w:space="4" w:color="auto"/>
          <w:bottom w:val="single" w:sz="4" w:space="1" w:color="auto"/>
          <w:right w:val="single" w:sz="4" w:space="4" w:color="auto"/>
        </w:pBdr>
        <w:rPr>
          <w:rFonts w:ascii="Marianne" w:hAnsi="Marianne"/>
          <w:sz w:val="20"/>
          <w:szCs w:val="20"/>
        </w:rPr>
      </w:pPr>
      <w:r>
        <w:rPr>
          <w:rFonts w:ascii="Marianne" w:hAnsi="Marianne"/>
          <w:sz w:val="20"/>
          <w:szCs w:val="20"/>
        </w:rPr>
        <w:t>Les annexes mentionnées dans le présent mémoire sont limitées en nombre de pages, cette limitation étant précisée pour chacun des sous-critères ou items concernés. Pour chaque annexe fournie, le soumissionnaire indique clairement le sous-critère ou l’item auquel elle se rattache.</w:t>
      </w:r>
    </w:p>
    <w:p>
      <w:pPr>
        <w:pStyle w:val="NormalWeb"/>
        <w:pBdr>
          <w:top w:val="single" w:sz="4" w:space="1" w:color="auto"/>
          <w:left w:val="single" w:sz="4" w:space="4" w:color="auto"/>
          <w:bottom w:val="single" w:sz="4" w:space="1" w:color="auto"/>
          <w:right w:val="single" w:sz="4" w:space="4" w:color="auto"/>
        </w:pBdr>
        <w:rPr>
          <w:rFonts w:ascii="Marianne" w:hAnsi="Marianne"/>
          <w:strike/>
          <w:sz w:val="20"/>
          <w:szCs w:val="20"/>
        </w:rPr>
      </w:pPr>
      <w:r>
        <w:rPr>
          <w:rStyle w:val="lev"/>
          <w:rFonts w:ascii="Marianne" w:hAnsi="Marianne"/>
          <w:sz w:val="20"/>
          <w:szCs w:val="20"/>
        </w:rPr>
        <w:t>Le non-respect des exigences relatives au nombre maximal de pages est susceptible d’entraîner l’irrégularité de l’offre.</w:t>
      </w:r>
      <w:r>
        <w:rPr>
          <w:rFonts w:ascii="Marianne" w:hAnsi="Marianne"/>
          <w:sz w:val="20"/>
          <w:szCs w:val="20"/>
        </w:rPr>
        <w:br/>
      </w:r>
      <w:r>
        <w:rPr>
          <w:rStyle w:val="lev"/>
          <w:rFonts w:ascii="Marianne" w:hAnsi="Marianne"/>
          <w:sz w:val="20"/>
          <w:szCs w:val="20"/>
        </w:rPr>
        <w:t>Les exigences de présentation (police, taille et interligne) doivent être respectées afin de garantir l’égalité de traitement entre les candidats</w:t>
      </w:r>
    </w:p>
    <w:bookmarkEnd w:id="0"/>
    <w:p>
      <w:pPr>
        <w:pBdr>
          <w:top w:val="single" w:sz="4" w:space="1" w:color="auto"/>
          <w:left w:val="single" w:sz="4" w:space="4" w:color="auto"/>
          <w:bottom w:val="single" w:sz="4" w:space="1" w:color="auto"/>
          <w:right w:val="single" w:sz="4" w:space="4" w:color="auto"/>
        </w:pBdr>
        <w:rPr>
          <w:rFonts w:ascii="Marianne" w:hAnsi="Marianne"/>
          <w:sz w:val="20"/>
          <w:szCs w:val="20"/>
        </w:rPr>
      </w:pPr>
    </w:p>
    <w:p>
      <w:pPr>
        <w:rPr>
          <w:rFonts w:ascii="Marianne" w:hAnsi="Marianne"/>
          <w:sz w:val="20"/>
          <w:szCs w:val="20"/>
        </w:rPr>
      </w:pPr>
    </w:p>
    <w:p>
      <w:pPr>
        <w:rPr>
          <w:rFonts w:ascii="Marianne" w:hAnsi="Marianne"/>
          <w:sz w:val="20"/>
          <w:szCs w:val="20"/>
        </w:rPr>
      </w:pPr>
    </w:p>
    <w:p>
      <w:pPr>
        <w:rPr>
          <w:rFonts w:ascii="Marianne" w:hAnsi="Marianne"/>
          <w:sz w:val="20"/>
          <w:szCs w:val="20"/>
        </w:rPr>
      </w:pPr>
    </w:p>
    <w:p>
      <w:pPr>
        <w:rPr>
          <w:rFonts w:ascii="Marianne" w:hAnsi="Marianne"/>
          <w:sz w:val="20"/>
          <w:szCs w:val="20"/>
        </w:rPr>
      </w:pPr>
      <w:r>
        <w:rPr>
          <w:rFonts w:ascii="Marianne" w:hAnsi="Marianne"/>
          <w:sz w:val="20"/>
          <w:szCs w:val="20"/>
        </w:rPr>
        <w:br w:type="page"/>
      </w:r>
    </w:p>
    <w:p>
      <w:pPr>
        <w:spacing w:line="240" w:lineRule="auto"/>
        <w:rPr>
          <w:rFonts w:ascii="Marianne" w:hAnsi="Marianne" w:cstheme="minorHAnsi"/>
          <w:b/>
          <w:bCs/>
          <w:sz w:val="20"/>
          <w:szCs w:val="20"/>
          <w:u w:val="single"/>
        </w:rPr>
      </w:pPr>
      <w:r>
        <w:rPr>
          <w:rFonts w:ascii="Marianne" w:hAnsi="Marianne" w:cstheme="minorHAnsi"/>
          <w:b/>
          <w:bCs/>
          <w:sz w:val="20"/>
          <w:szCs w:val="20"/>
          <w:u w:val="single"/>
        </w:rPr>
        <w:lastRenderedPageBreak/>
        <w:t xml:space="preserve">NOM DU SOUMISSIONNAIRE : </w:t>
      </w:r>
      <w:r>
        <w:rPr>
          <w:rFonts w:ascii="Marianne" w:hAnsi="Marianne" w:cstheme="minorHAnsi"/>
          <w:b/>
          <w:bCs/>
          <w:sz w:val="20"/>
          <w:szCs w:val="20"/>
        </w:rPr>
        <w:t xml:space="preserve">  </w:t>
      </w:r>
    </w:p>
    <w:p>
      <w:pPr>
        <w:spacing w:line="240" w:lineRule="auto"/>
        <w:rPr>
          <w:rFonts w:ascii="Marianne" w:hAnsi="Marianne" w:cstheme="minorHAnsi"/>
          <w:b/>
          <w:bCs/>
          <w:sz w:val="20"/>
          <w:szCs w:val="20"/>
          <w:u w:val="single"/>
        </w:rPr>
      </w:pPr>
    </w:p>
    <w:p>
      <w:pPr>
        <w:spacing w:after="0" w:line="240" w:lineRule="auto"/>
        <w:rPr>
          <w:rFonts w:ascii="Marianne" w:eastAsia="Times New Roman" w:hAnsi="Marianne" w:cstheme="minorHAnsi"/>
          <w:b/>
          <w:bCs/>
          <w:color w:val="000000"/>
          <w:sz w:val="20"/>
          <w:szCs w:val="20"/>
          <w:u w:val="single"/>
          <w:lang w:eastAsia="fr-FR"/>
        </w:rPr>
      </w:pPr>
      <w:r>
        <w:rPr>
          <w:rFonts w:ascii="Marianne" w:eastAsia="Times New Roman" w:hAnsi="Marianne" w:cstheme="minorHAnsi"/>
          <w:b/>
          <w:bCs/>
          <w:color w:val="000000"/>
          <w:sz w:val="20"/>
          <w:szCs w:val="20"/>
          <w:u w:val="single"/>
          <w:lang w:eastAsia="fr-FR"/>
        </w:rPr>
        <w:t>Sous-critère 1 : Qualité des moyens humains et techniques – 10 points</w:t>
      </w:r>
    </w:p>
    <w:p>
      <w:pPr>
        <w:spacing w:after="0" w:line="240" w:lineRule="auto"/>
        <w:rPr>
          <w:rFonts w:ascii="Marianne" w:eastAsia="Times New Roman" w:hAnsi="Marianne" w:cstheme="minorHAnsi"/>
          <w:b/>
          <w:bCs/>
          <w:color w:val="000000"/>
          <w:sz w:val="20"/>
          <w:szCs w:val="20"/>
          <w:u w:val="single"/>
          <w:lang w:eastAsia="fr-FR"/>
        </w:rPr>
      </w:pPr>
    </w:p>
    <w:p>
      <w:pPr>
        <w:spacing w:after="0" w:line="240" w:lineRule="auto"/>
        <w:rPr>
          <w:rFonts w:ascii="Marianne" w:hAnsi="Marianne" w:cstheme="minorHAnsi"/>
          <w:b/>
          <w:bCs/>
          <w:sz w:val="20"/>
          <w:szCs w:val="20"/>
        </w:rPr>
      </w:pPr>
    </w:p>
    <w:p>
      <w:pPr>
        <w:spacing w:after="0" w:line="240" w:lineRule="auto"/>
        <w:rPr>
          <w:rFonts w:ascii="Marianne" w:hAnsi="Marianne" w:cstheme="minorHAnsi"/>
          <w:b/>
          <w:bCs/>
          <w:sz w:val="20"/>
          <w:szCs w:val="20"/>
        </w:rPr>
      </w:pPr>
      <w:r>
        <w:rPr>
          <w:rFonts w:ascii="Marianne" w:hAnsi="Marianne" w:cstheme="minorHAnsi"/>
          <w:b/>
          <w:bCs/>
          <w:sz w:val="20"/>
          <w:szCs w:val="20"/>
        </w:rPr>
        <w:t xml:space="preserve">Dans le sous-critère 1 sera jugé : </w:t>
      </w:r>
    </w:p>
    <w:p>
      <w:pPr>
        <w:spacing w:after="0" w:line="240" w:lineRule="auto"/>
        <w:rPr>
          <w:rFonts w:ascii="Marianne" w:hAnsi="Marianne" w:cstheme="minorHAnsi"/>
          <w:b/>
          <w:bCs/>
          <w:sz w:val="20"/>
          <w:szCs w:val="20"/>
        </w:rPr>
      </w:pPr>
    </w:p>
    <w:p>
      <w:pPr>
        <w:spacing w:after="0" w:line="240" w:lineRule="auto"/>
        <w:rPr>
          <w:rFonts w:ascii="Marianne" w:hAnsi="Marianne" w:cstheme="minorHAnsi"/>
          <w:sz w:val="20"/>
          <w:szCs w:val="20"/>
        </w:rPr>
      </w:pPr>
      <w:r>
        <w:rPr>
          <w:rFonts w:ascii="Marianne" w:hAnsi="Marianne" w:cstheme="minorHAnsi"/>
          <w:b/>
          <w:bCs/>
          <w:sz w:val="20"/>
          <w:szCs w:val="20"/>
        </w:rPr>
        <w:t>Qualité des moyens humains et de l’organisation mise en place : 5 points</w:t>
      </w:r>
    </w:p>
    <w:p>
      <w:pPr>
        <w:spacing w:after="0" w:line="240" w:lineRule="auto"/>
        <w:rPr>
          <w:rFonts w:ascii="Marianne" w:hAnsi="Marianne" w:cstheme="minorHAnsi"/>
          <w:sz w:val="20"/>
          <w:szCs w:val="20"/>
        </w:rPr>
      </w:pPr>
    </w:p>
    <w:p>
      <w:pPr>
        <w:spacing w:after="0" w:line="240" w:lineRule="auto"/>
        <w:rPr>
          <w:rFonts w:ascii="Marianne" w:hAnsi="Marianne" w:cstheme="minorHAnsi"/>
          <w:sz w:val="20"/>
          <w:szCs w:val="20"/>
        </w:rPr>
      </w:pPr>
      <w:r>
        <w:rPr>
          <w:rFonts w:ascii="Marianne" w:hAnsi="Marianne"/>
          <w:sz w:val="20"/>
          <w:szCs w:val="20"/>
        </w:rPr>
        <w:t>Le soumissionnaire peut joindre en annexe tout document qu'il juge utile, dans la limite de 5 feuilles imprimées recto-verso maximum (soit 10 pages).</w:t>
      </w:r>
    </w:p>
    <w:p>
      <w:pPr>
        <w:spacing w:after="0" w:line="240" w:lineRule="auto"/>
        <w:rPr>
          <w:rFonts w:ascii="Marianne" w:hAnsi="Marianne" w:cstheme="minorHAnsi"/>
          <w:sz w:val="20"/>
          <w:szCs w:val="20"/>
        </w:rPr>
      </w:pPr>
    </w:p>
    <w:p>
      <w:pPr>
        <w:spacing w:line="240" w:lineRule="auto"/>
        <w:rPr>
          <w:rFonts w:ascii="Marianne" w:hAnsi="Marianne" w:cstheme="minorHAnsi"/>
          <w:sz w:val="20"/>
          <w:szCs w:val="20"/>
        </w:rPr>
      </w:pPr>
      <w:r>
        <w:rPr>
          <w:rFonts w:ascii="Marianne" w:hAnsi="Marianne" w:cstheme="minorHAnsi"/>
          <w:sz w:val="20"/>
          <w:szCs w:val="20"/>
        </w:rPr>
        <w:t xml:space="preserve">Gestion et son organisation de l’équipe  chargée d’assurer notamment le traitement des commandes et des demandes des bénéficiaires en avant-vente, SAV, réclamations et assistance </w:t>
      </w:r>
    </w:p>
    <w:p>
      <w:pPr>
        <w:spacing w:line="240" w:lineRule="auto"/>
        <w:rPr>
          <w:rFonts w:ascii="Marianne" w:eastAsia="Times New Roman" w:hAnsi="Marianne" w:cstheme="minorHAnsi"/>
          <w:color w:val="000000"/>
          <w:sz w:val="20"/>
          <w:szCs w:val="20"/>
          <w:lang w:eastAsia="fr-FR"/>
        </w:rPr>
      </w:pPr>
    </w:p>
    <w:p>
      <w:pPr>
        <w:spacing w:after="0" w:line="240" w:lineRule="auto"/>
        <w:rPr>
          <w:rFonts w:ascii="Marianne" w:hAnsi="Marianne" w:cstheme="minorHAnsi"/>
          <w:sz w:val="20"/>
          <w:szCs w:val="20"/>
        </w:rPr>
      </w:pPr>
      <w:r>
        <w:rPr>
          <w:rFonts w:ascii="Marianne" w:eastAsia="Times New Roman" w:hAnsi="Marianne" w:cstheme="minorHAnsi"/>
          <w:b/>
          <w:bCs/>
          <w:color w:val="000000"/>
          <w:sz w:val="20"/>
          <w:szCs w:val="20"/>
          <w:lang w:eastAsia="fr-FR"/>
        </w:rPr>
        <w:t xml:space="preserve">Qualité des moyens logistiques: 5 points </w:t>
      </w:r>
    </w:p>
    <w:p>
      <w:pPr>
        <w:spacing w:line="240" w:lineRule="auto"/>
        <w:rPr>
          <w:rFonts w:ascii="Marianne" w:eastAsia="Times New Roman" w:hAnsi="Marianne" w:cstheme="minorHAnsi"/>
          <w:b/>
          <w:bCs/>
          <w:color w:val="000000"/>
          <w:sz w:val="20"/>
          <w:szCs w:val="20"/>
          <w:lang w:eastAsia="fr-FR"/>
        </w:rPr>
      </w:pPr>
    </w:p>
    <w:p>
      <w:pPr>
        <w:spacing w:line="240" w:lineRule="auto"/>
        <w:rPr>
          <w:rFonts w:ascii="Marianne" w:hAnsi="Marianne" w:cstheme="minorHAnsi"/>
          <w:sz w:val="20"/>
          <w:szCs w:val="20"/>
        </w:rPr>
      </w:pPr>
      <w:r>
        <w:rPr>
          <w:rFonts w:ascii="Marianne" w:hAnsi="Marianne"/>
          <w:sz w:val="20"/>
          <w:szCs w:val="20"/>
        </w:rPr>
        <w:t>Le soumissionnaire peut joindre en annexe tout document qu'il juge utile, dans la limite de 3 feuilles imprimées recto-verso maximum (soit 6 pages).</w:t>
      </w:r>
    </w:p>
    <w:p>
      <w:pPr>
        <w:spacing w:line="240" w:lineRule="auto"/>
        <w:rPr>
          <w:rFonts w:ascii="Marianne" w:hAnsi="Marianne" w:cstheme="minorHAnsi"/>
          <w:sz w:val="20"/>
          <w:szCs w:val="20"/>
        </w:rPr>
      </w:pPr>
      <w:r>
        <w:rPr>
          <w:rFonts w:ascii="Marianne" w:hAnsi="Marianne" w:cstheme="minorHAnsi"/>
          <w:sz w:val="20"/>
          <w:szCs w:val="20"/>
        </w:rPr>
        <w:t>Le stockage : le nombre, les superficies et la localisation de ses entrepôts, la valeur de son stock en € HT, la part des références détenues en stock / nombre total de références de son catalogue</w:t>
      </w:r>
    </w:p>
    <w:p>
      <w:pPr>
        <w:spacing w:line="240" w:lineRule="auto"/>
        <w:rPr>
          <w:rFonts w:ascii="Marianne" w:hAnsi="Marianne" w:cstheme="minorHAnsi"/>
          <w:sz w:val="20"/>
          <w:szCs w:val="20"/>
        </w:rPr>
      </w:pPr>
      <w:r>
        <w:rPr>
          <w:rFonts w:ascii="Marianne" w:hAnsi="Marianne" w:cstheme="minorHAnsi"/>
          <w:sz w:val="20"/>
          <w:szCs w:val="20"/>
        </w:rPr>
        <w:t>Le flux : le nombre de commandes et le nombre de lignes de commandes livrées en 2025</w:t>
      </w:r>
    </w:p>
    <w:p>
      <w:pPr>
        <w:spacing w:line="240" w:lineRule="auto"/>
        <w:rPr>
          <w:rFonts w:ascii="Marianne" w:hAnsi="Marianne" w:cstheme="minorHAnsi"/>
          <w:sz w:val="20"/>
          <w:szCs w:val="20"/>
        </w:rPr>
      </w:pPr>
    </w:p>
    <w:p>
      <w:pPr>
        <w:spacing w:line="240" w:lineRule="auto"/>
        <w:rPr>
          <w:rFonts w:ascii="Marianne" w:hAnsi="Marianne" w:cstheme="minorHAnsi"/>
          <w:b/>
          <w:bCs/>
          <w:sz w:val="20"/>
          <w:szCs w:val="20"/>
          <w:u w:val="single"/>
        </w:rPr>
      </w:pPr>
      <w:r>
        <w:rPr>
          <w:rFonts w:ascii="Marianne" w:hAnsi="Marianne" w:cstheme="minorHAnsi"/>
          <w:b/>
          <w:bCs/>
          <w:sz w:val="20"/>
          <w:szCs w:val="20"/>
          <w:u w:val="single"/>
        </w:rPr>
        <w:t xml:space="preserve">Sous-critère 2 : </w:t>
      </w:r>
      <w:r>
        <w:rPr>
          <w:rFonts w:ascii="Marianne" w:eastAsia="Marianne" w:hAnsi="Marianne" w:cs="Marianne"/>
          <w:b/>
          <w:bCs/>
          <w:color w:val="000000"/>
          <w:sz w:val="20"/>
          <w:szCs w:val="20"/>
          <w:u w:val="single"/>
        </w:rPr>
        <w:t>Qualité des produits</w:t>
      </w:r>
      <w:r>
        <w:rPr>
          <w:rFonts w:ascii="Marianne" w:hAnsi="Marianne" w:cstheme="minorHAnsi"/>
          <w:b/>
          <w:bCs/>
          <w:sz w:val="20"/>
          <w:szCs w:val="20"/>
          <w:u w:val="single"/>
        </w:rPr>
        <w:t xml:space="preserve"> –  10 points</w:t>
      </w:r>
    </w:p>
    <w:p>
      <w:pPr>
        <w:spacing w:after="0" w:line="240" w:lineRule="auto"/>
        <w:rPr>
          <w:rFonts w:ascii="Marianne" w:eastAsia="Times New Roman" w:hAnsi="Marianne" w:cstheme="minorHAnsi"/>
          <w:color w:val="000000"/>
          <w:sz w:val="20"/>
          <w:szCs w:val="20"/>
          <w:lang w:eastAsia="fr-FR"/>
        </w:rPr>
      </w:pPr>
    </w:p>
    <w:p>
      <w:pPr>
        <w:spacing w:after="0" w:line="240" w:lineRule="auto"/>
        <w:rPr>
          <w:rFonts w:ascii="Marianne" w:hAnsi="Marianne" w:cstheme="minorHAnsi"/>
          <w:b/>
          <w:bCs/>
          <w:sz w:val="20"/>
          <w:szCs w:val="20"/>
        </w:rPr>
      </w:pPr>
      <w:r>
        <w:rPr>
          <w:rFonts w:ascii="Marianne" w:eastAsia="Times New Roman" w:hAnsi="Marianne" w:cstheme="minorHAnsi"/>
          <w:color w:val="000000"/>
          <w:sz w:val="20"/>
          <w:szCs w:val="20"/>
          <w:lang w:eastAsia="fr-FR"/>
        </w:rPr>
        <w:t xml:space="preserve">Analyse aléatoire de 10 fiches techniques fournies sur les produits proposés en équivalence aux produits mentionnés au BPU. </w:t>
      </w:r>
    </w:p>
    <w:p>
      <w:pPr>
        <w:spacing w:after="0" w:line="240" w:lineRule="auto"/>
        <w:rPr>
          <w:rFonts w:ascii="Marianne" w:hAnsi="Marianne" w:cstheme="minorHAnsi"/>
          <w:b/>
          <w:bCs/>
          <w:sz w:val="20"/>
          <w:szCs w:val="20"/>
        </w:rPr>
      </w:pPr>
    </w:p>
    <w:p>
      <w:pPr>
        <w:spacing w:line="240" w:lineRule="auto"/>
        <w:rPr>
          <w:rFonts w:ascii="Marianne" w:hAnsi="Marianne" w:cstheme="minorHAnsi"/>
          <w:sz w:val="20"/>
          <w:szCs w:val="20"/>
        </w:rPr>
      </w:pPr>
    </w:p>
    <w:p>
      <w:pPr>
        <w:rPr>
          <w:rFonts w:ascii="Marianne" w:hAnsi="Marianne"/>
          <w:sz w:val="20"/>
          <w:szCs w:val="20"/>
        </w:rPr>
      </w:pPr>
      <w:r>
        <w:rPr>
          <w:rFonts w:ascii="Marianne" w:eastAsia="Marianne" w:hAnsi="Marianne" w:cs="Marianne"/>
          <w:b/>
          <w:bCs/>
          <w:color w:val="000000"/>
          <w:sz w:val="20"/>
          <w:szCs w:val="20"/>
        </w:rPr>
        <w:t>Sous-critère 3 : Qualité de l'interface de commande - 10 points</w:t>
      </w:r>
    </w:p>
    <w:p>
      <w:pPr>
        <w:spacing w:line="240" w:lineRule="auto"/>
        <w:rPr>
          <w:rFonts w:ascii="Marianne" w:hAnsi="Marianne" w:cstheme="minorHAnsi"/>
          <w:b/>
          <w:bCs/>
          <w:sz w:val="20"/>
          <w:szCs w:val="20"/>
        </w:rPr>
      </w:pPr>
      <w:r>
        <w:rPr>
          <w:rFonts w:ascii="Marianne" w:hAnsi="Marianne" w:cstheme="minorHAnsi"/>
          <w:b/>
          <w:bCs/>
          <w:sz w:val="20"/>
          <w:szCs w:val="20"/>
        </w:rPr>
        <w:t>Qualité de l’ergonomie de l’interface de commande :  3 points</w:t>
      </w:r>
    </w:p>
    <w:p>
      <w:pPr>
        <w:spacing w:line="240" w:lineRule="auto"/>
        <w:rPr>
          <w:rFonts w:ascii="Marianne" w:eastAsia="Times New Roman" w:hAnsi="Marianne" w:cstheme="minorHAnsi"/>
          <w:color w:val="000000"/>
          <w:sz w:val="20"/>
          <w:szCs w:val="20"/>
          <w:lang w:eastAsia="fr-FR"/>
        </w:rPr>
      </w:pPr>
      <w:r>
        <w:rPr>
          <w:rFonts w:ascii="Marianne" w:eastAsia="Times New Roman" w:hAnsi="Marianne" w:cstheme="minorHAnsi"/>
          <w:color w:val="000000"/>
          <w:sz w:val="20"/>
          <w:szCs w:val="20"/>
          <w:lang w:eastAsia="fr-FR"/>
        </w:rPr>
        <w:t xml:space="preserve">Fournir en annexe des copies d’écrans détaillées permettant de voir le déroulement d’une commande d’un article précis, étape par étape, de la constitution du panier à l’envoi du bon de commande. Annexe 20 pages maximum. </w:t>
      </w:r>
    </w:p>
    <w:p>
      <w:pPr>
        <w:spacing w:line="240" w:lineRule="auto"/>
        <w:rPr>
          <w:rFonts w:ascii="Marianne" w:eastAsia="Times New Roman" w:hAnsi="Marianne" w:cstheme="minorHAnsi"/>
          <w:color w:val="000000"/>
          <w:sz w:val="20"/>
          <w:szCs w:val="20"/>
          <w:lang w:eastAsia="fr-FR"/>
        </w:rPr>
      </w:pPr>
      <w:r>
        <w:rPr>
          <w:rFonts w:ascii="Marianne" w:eastAsia="Times New Roman" w:hAnsi="Marianne" w:cstheme="minorHAnsi"/>
          <w:color w:val="000000"/>
          <w:sz w:val="20"/>
          <w:szCs w:val="20"/>
          <w:lang w:eastAsia="fr-FR"/>
        </w:rPr>
        <w:t xml:space="preserve">Possibilité en complément des annexes de fournir l’accès à un compte fictif permettant de tester l’interface (ou de fournir une vidéo de démonstration)  </w:t>
      </w:r>
    </w:p>
    <w:p>
      <w:pPr>
        <w:spacing w:line="240" w:lineRule="auto"/>
        <w:rPr>
          <w:rFonts w:ascii="Marianne" w:eastAsia="Times New Roman" w:hAnsi="Marianne" w:cstheme="minorHAnsi"/>
          <w:color w:val="000000"/>
          <w:sz w:val="20"/>
          <w:szCs w:val="20"/>
          <w:lang w:eastAsia="fr-FR"/>
        </w:rPr>
      </w:pPr>
    </w:p>
    <w:p>
      <w:pPr>
        <w:spacing w:line="240" w:lineRule="auto"/>
        <w:rPr>
          <w:rFonts w:ascii="Marianne" w:hAnsi="Marianne" w:cstheme="minorHAnsi"/>
          <w:b/>
          <w:bCs/>
          <w:sz w:val="20"/>
          <w:szCs w:val="20"/>
        </w:rPr>
      </w:pPr>
      <w:r>
        <w:rPr>
          <w:rFonts w:ascii="Marianne" w:hAnsi="Marianne" w:cstheme="minorHAnsi"/>
          <w:b/>
          <w:bCs/>
          <w:sz w:val="20"/>
          <w:szCs w:val="20"/>
        </w:rPr>
        <w:lastRenderedPageBreak/>
        <w:t xml:space="preserve"> Qualité du déploiement auprès des bénéficiaires : gestion du paramétrage des comptes, sous-comptes et accès, formations à l’utilisation : 4 points</w:t>
      </w:r>
    </w:p>
    <w:p>
      <w:pPr>
        <w:spacing w:before="100" w:beforeAutospacing="1" w:after="100" w:afterAutospacing="1" w:line="240" w:lineRule="auto"/>
        <w:rPr>
          <w:rFonts w:ascii="Marianne" w:eastAsia="Times New Roman" w:hAnsi="Marianne" w:cs="Times New Roman"/>
          <w:sz w:val="20"/>
          <w:szCs w:val="20"/>
          <w:lang w:eastAsia="fr-FR"/>
        </w:rPr>
      </w:pPr>
      <w:r>
        <w:rPr>
          <w:rFonts w:ascii="Marianne" w:eastAsia="Times New Roman" w:hAnsi="Marianne" w:cs="Times New Roman"/>
          <w:sz w:val="20"/>
          <w:szCs w:val="20"/>
          <w:lang w:eastAsia="fr-FR"/>
        </w:rPr>
        <w:t>Organisation, notamment les modalités de contact des bénéficiaires, et les moyens mis en œuvre pour procéder à la création et au paramétrage des différents comptes, sous-comptes et accès des bénéficiaires à l’interface de commande</w:t>
      </w:r>
    </w:p>
    <w:p>
      <w:pPr>
        <w:spacing w:before="100" w:beforeAutospacing="1" w:after="100" w:afterAutospacing="1" w:line="240" w:lineRule="auto"/>
        <w:rPr>
          <w:rFonts w:ascii="Marianne" w:eastAsia="Times New Roman" w:hAnsi="Marianne" w:cs="Times New Roman"/>
          <w:sz w:val="20"/>
          <w:szCs w:val="20"/>
          <w:lang w:eastAsia="fr-FR"/>
        </w:rPr>
      </w:pPr>
      <w:r>
        <w:rPr>
          <w:rFonts w:ascii="Marianne" w:eastAsia="Times New Roman" w:hAnsi="Marianne" w:cs="Times New Roman"/>
          <w:sz w:val="20"/>
          <w:szCs w:val="20"/>
          <w:lang w:eastAsia="fr-FR"/>
        </w:rPr>
        <w:t>Conditions des formations à l’utilisation (nombre, durée et contenu…) et les supports mis à disposition</w:t>
      </w:r>
      <w:r>
        <w:rPr>
          <w:rFonts w:ascii="Marianne" w:eastAsia="Times New Roman" w:hAnsi="Marianne" w:cstheme="minorHAnsi"/>
          <w:color w:val="000000"/>
          <w:sz w:val="20"/>
          <w:szCs w:val="20"/>
          <w:lang w:eastAsia="fr-FR"/>
        </w:rPr>
        <w:t xml:space="preserve"> </w:t>
      </w:r>
      <w:r>
        <w:rPr>
          <w:rFonts w:ascii="Marianne" w:eastAsia="Times New Roman" w:hAnsi="Marianne" w:cs="Times New Roman"/>
          <w:sz w:val="20"/>
          <w:szCs w:val="20"/>
          <w:lang w:eastAsia="fr-FR"/>
        </w:rPr>
        <w:t>organisation, notamment les modalités de contact des bénéficiaires, et les moyens mis en œuvre pour dispenser ces formations</w:t>
      </w:r>
    </w:p>
    <w:p>
      <w:pPr>
        <w:spacing w:line="240" w:lineRule="auto"/>
        <w:rPr>
          <w:rFonts w:ascii="Marianne" w:eastAsia="Times New Roman" w:hAnsi="Marianne" w:cstheme="minorHAnsi"/>
          <w:b/>
          <w:bCs/>
          <w:color w:val="000000"/>
          <w:sz w:val="20"/>
          <w:szCs w:val="20"/>
          <w:lang w:eastAsia="fr-FR"/>
        </w:rPr>
      </w:pPr>
      <w:r>
        <w:rPr>
          <w:rFonts w:ascii="Marianne" w:eastAsia="Times New Roman" w:hAnsi="Marianne" w:cstheme="minorHAnsi"/>
          <w:b/>
          <w:bCs/>
          <w:color w:val="000000"/>
          <w:sz w:val="20"/>
          <w:szCs w:val="20"/>
          <w:lang w:eastAsia="fr-FR"/>
        </w:rPr>
        <w:t xml:space="preserve">Qualité de l'assistance technique à l'utilisation de l'interface de commande :  3 points </w:t>
      </w:r>
    </w:p>
    <w:p>
      <w:pPr>
        <w:spacing w:before="100" w:beforeAutospacing="1" w:after="100" w:afterAutospacing="1" w:line="240" w:lineRule="auto"/>
        <w:rPr>
          <w:rFonts w:ascii="Marianne" w:eastAsia="Times New Roman" w:hAnsi="Marianne" w:cs="Times New Roman"/>
          <w:sz w:val="20"/>
          <w:szCs w:val="20"/>
          <w:lang w:eastAsia="fr-FR"/>
        </w:rPr>
      </w:pPr>
      <w:r>
        <w:rPr>
          <w:rFonts w:ascii="Marianne" w:eastAsia="Times New Roman" w:hAnsi="Marianne" w:cs="Times New Roman"/>
          <w:sz w:val="20"/>
          <w:szCs w:val="20"/>
          <w:lang w:eastAsia="fr-FR"/>
        </w:rPr>
        <w:t>Moyens et organisation mis en place pour l’assistance technique à l’utilisation en cas de dysfonctionnements ou difficultés éventuels rencontrés dans le cadre de l’utilisation de l’interface de commande</w:t>
      </w:r>
    </w:p>
    <w:p>
      <w:pPr>
        <w:rPr>
          <w:rFonts w:ascii="Marianne" w:hAnsi="Marianne"/>
          <w:sz w:val="20"/>
          <w:szCs w:val="20"/>
        </w:rPr>
      </w:pPr>
      <w:r>
        <w:rPr>
          <w:rFonts w:ascii="Marianne" w:eastAsia="Marianne" w:hAnsi="Marianne" w:cs="Marianne"/>
          <w:b/>
          <w:bCs/>
          <w:color w:val="000000"/>
          <w:sz w:val="20"/>
          <w:szCs w:val="20"/>
        </w:rPr>
        <w:t>Sous-critère 4 : Qualité des modalités opérationnelles 5 points</w:t>
      </w:r>
    </w:p>
    <w:p>
      <w:pPr>
        <w:rPr>
          <w:rFonts w:ascii="Marianne" w:hAnsi="Marianne"/>
          <w:sz w:val="20"/>
          <w:szCs w:val="20"/>
        </w:rPr>
      </w:pPr>
    </w:p>
    <w:p>
      <w:pPr>
        <w:spacing w:after="0" w:line="240" w:lineRule="auto"/>
        <w:rPr>
          <w:rFonts w:ascii="Marianne" w:eastAsia="Marianne" w:hAnsi="Marianne" w:cs="Marianne"/>
          <w:color w:val="000000"/>
          <w:sz w:val="20"/>
          <w:szCs w:val="20"/>
        </w:rPr>
      </w:pPr>
      <w:r>
        <w:rPr>
          <w:rFonts w:ascii="Marianne" w:eastAsia="Marianne" w:hAnsi="Marianne" w:cs="Marianne"/>
          <w:color w:val="000000"/>
          <w:sz w:val="20"/>
          <w:szCs w:val="20"/>
        </w:rPr>
        <w:t>Pertinence du processus de traitement et de suivi des commandes, des livraisons, de la facturation </w:t>
      </w:r>
      <w:r>
        <w:rPr>
          <w:rFonts w:ascii="Marianne" w:eastAsia="Marianne" w:hAnsi="Marianne" w:cs="Marianne"/>
          <w:b/>
          <w:bCs/>
          <w:color w:val="000000"/>
          <w:sz w:val="20"/>
          <w:szCs w:val="20"/>
        </w:rPr>
        <w:t>: 2,5 points</w:t>
      </w:r>
    </w:p>
    <w:p>
      <w:pPr>
        <w:rPr>
          <w:rFonts w:ascii="Marianne" w:hAnsi="Marianne"/>
          <w:sz w:val="20"/>
          <w:szCs w:val="20"/>
        </w:rPr>
      </w:pPr>
    </w:p>
    <w:p>
      <w:pPr>
        <w:spacing w:line="240" w:lineRule="auto"/>
        <w:rPr>
          <w:rFonts w:ascii="Marianne" w:eastAsia="Times New Roman" w:hAnsi="Marianne" w:cstheme="minorHAnsi"/>
          <w:color w:val="000000"/>
          <w:sz w:val="20"/>
          <w:szCs w:val="20"/>
          <w:lang w:eastAsia="fr-FR"/>
        </w:rPr>
      </w:pPr>
      <w:r>
        <w:rPr>
          <w:rFonts w:ascii="Marianne" w:eastAsia="Times New Roman" w:hAnsi="Marianne" w:cstheme="minorHAnsi"/>
          <w:color w:val="000000"/>
          <w:sz w:val="20"/>
          <w:szCs w:val="20"/>
          <w:lang w:eastAsia="fr-FR"/>
        </w:rPr>
        <w:t>Le soumissionnaire joint en annexe pour tout document jugé utile, dans la limite de 5 pages recto-verso</w:t>
      </w:r>
    </w:p>
    <w:p>
      <w:pPr>
        <w:spacing w:line="240" w:lineRule="auto"/>
        <w:rPr>
          <w:rFonts w:ascii="Marianne" w:eastAsia="Times New Roman" w:hAnsi="Marianne" w:cstheme="minorHAnsi"/>
          <w:color w:val="000000"/>
          <w:sz w:val="20"/>
          <w:szCs w:val="20"/>
          <w:lang w:eastAsia="fr-FR"/>
        </w:rPr>
      </w:pPr>
      <w:r>
        <w:rPr>
          <w:rFonts w:ascii="Marianne" w:eastAsia="Times New Roman" w:hAnsi="Marianne" w:cstheme="minorHAnsi"/>
          <w:color w:val="000000"/>
          <w:sz w:val="20"/>
          <w:szCs w:val="20"/>
          <w:lang w:eastAsia="fr-FR"/>
        </w:rPr>
        <w:t>Décrire le processus complet du traitement des opérations de la réception de la commande à la livraison et à la facturation</w:t>
      </w:r>
    </w:p>
    <w:p>
      <w:pPr>
        <w:spacing w:line="240" w:lineRule="auto"/>
        <w:rPr>
          <w:rFonts w:ascii="Marianne" w:eastAsia="Times New Roman" w:hAnsi="Marianne" w:cstheme="minorHAnsi"/>
          <w:color w:val="000000"/>
          <w:sz w:val="20"/>
          <w:szCs w:val="20"/>
          <w:lang w:eastAsia="fr-FR"/>
        </w:rPr>
      </w:pPr>
      <w:r>
        <w:rPr>
          <w:rFonts w:ascii="Marianne" w:eastAsia="Times New Roman" w:hAnsi="Marianne" w:cstheme="minorHAnsi"/>
          <w:color w:val="000000"/>
          <w:sz w:val="20"/>
          <w:szCs w:val="20"/>
          <w:lang w:eastAsia="fr-FR"/>
        </w:rPr>
        <w:t>Plus spécifiquement, organisation et moyens mis en œuvre pour maîtriser les conditions de transport des marchandises et les délais de livraison</w:t>
      </w:r>
    </w:p>
    <w:p>
      <w:pPr>
        <w:spacing w:line="240" w:lineRule="auto"/>
        <w:rPr>
          <w:rFonts w:ascii="Marianne" w:eastAsia="Times New Roman" w:hAnsi="Marianne" w:cstheme="minorHAnsi"/>
          <w:color w:val="000000"/>
          <w:sz w:val="20"/>
          <w:szCs w:val="20"/>
          <w:lang w:eastAsia="fr-FR"/>
        </w:rPr>
      </w:pPr>
      <w:r>
        <w:rPr>
          <w:rFonts w:ascii="Marianne" w:eastAsia="Marianne" w:hAnsi="Marianne" w:cs="Marianne"/>
          <w:color w:val="000000"/>
          <w:sz w:val="20"/>
          <w:szCs w:val="20"/>
        </w:rPr>
        <w:t xml:space="preserve">Pertinence de la gestion de la rupture de stock et des substitutions de références : </w:t>
      </w:r>
      <w:r>
        <w:rPr>
          <w:rFonts w:ascii="Marianne" w:eastAsia="Marianne" w:hAnsi="Marianne" w:cs="Marianne"/>
          <w:b/>
          <w:bCs/>
          <w:color w:val="000000"/>
          <w:sz w:val="20"/>
          <w:szCs w:val="20"/>
        </w:rPr>
        <w:t>2,5 points</w:t>
      </w:r>
    </w:p>
    <w:p>
      <w:pPr>
        <w:spacing w:line="240" w:lineRule="auto"/>
        <w:rPr>
          <w:rFonts w:ascii="Marianne" w:hAnsi="Marianne" w:cstheme="minorHAnsi"/>
          <w:sz w:val="20"/>
          <w:szCs w:val="20"/>
        </w:rPr>
      </w:pPr>
    </w:p>
    <w:p>
      <w:pPr>
        <w:spacing w:line="240" w:lineRule="auto"/>
        <w:rPr>
          <w:rFonts w:ascii="Marianne" w:hAnsi="Marianne" w:cstheme="minorHAnsi"/>
          <w:b/>
          <w:bCs/>
          <w:sz w:val="20"/>
          <w:szCs w:val="20"/>
          <w:u w:val="single"/>
        </w:rPr>
      </w:pPr>
      <w:r>
        <w:rPr>
          <w:rFonts w:ascii="Marianne" w:hAnsi="Marianne" w:cstheme="minorHAnsi"/>
          <w:b/>
          <w:bCs/>
          <w:sz w:val="20"/>
          <w:szCs w:val="20"/>
          <w:u w:val="single"/>
        </w:rPr>
        <w:t>Sous-critère 5 : Etendue du maillage territorial du réseau de points de vente – 5 points</w:t>
      </w:r>
    </w:p>
    <w:p>
      <w:pPr>
        <w:spacing w:after="0" w:line="240" w:lineRule="auto"/>
        <w:rPr>
          <w:rFonts w:ascii="Marianne" w:hAnsi="Marianne" w:cstheme="minorHAnsi"/>
          <w:b/>
          <w:bCs/>
          <w:sz w:val="20"/>
          <w:szCs w:val="20"/>
        </w:rPr>
      </w:pPr>
      <w:r>
        <w:rPr>
          <w:rFonts w:ascii="Marianne" w:hAnsi="Marianne" w:cstheme="minorHAnsi"/>
          <w:b/>
          <w:bCs/>
          <w:sz w:val="20"/>
          <w:szCs w:val="20"/>
        </w:rPr>
        <w:t xml:space="preserve">Dans le sous-critère 5 sera jugé, notamment : </w:t>
      </w:r>
    </w:p>
    <w:p>
      <w:pPr>
        <w:spacing w:after="0" w:line="240" w:lineRule="auto"/>
        <w:rPr>
          <w:rFonts w:ascii="Marianne" w:hAnsi="Marianne" w:cstheme="minorHAnsi"/>
          <w:b/>
          <w:bCs/>
          <w:sz w:val="20"/>
          <w:szCs w:val="20"/>
        </w:rPr>
      </w:pPr>
    </w:p>
    <w:p>
      <w:pPr>
        <w:spacing w:line="240" w:lineRule="auto"/>
        <w:jc w:val="both"/>
        <w:rPr>
          <w:rFonts w:ascii="Marianne" w:eastAsia="Times New Roman" w:hAnsi="Marianne" w:cstheme="minorHAnsi"/>
          <w:color w:val="000000"/>
          <w:sz w:val="20"/>
          <w:szCs w:val="20"/>
          <w:lang w:eastAsia="fr-FR"/>
        </w:rPr>
      </w:pPr>
      <w:r>
        <w:rPr>
          <w:rFonts w:ascii="Marianne" w:hAnsi="Marianne"/>
          <w:sz w:val="20"/>
          <w:szCs w:val="20"/>
        </w:rPr>
        <w:t>Le soumissionnaire décrit le nombre et la répartition de ses points de vente en France métropolitaine, Corse incluse, ainsi que leurs horaires d'ouverture et leurs adresses. Il fournit  une carte permettant de localiser ces points de vente.</w:t>
      </w:r>
    </w:p>
    <w:p>
      <w:pPr>
        <w:spacing w:line="240" w:lineRule="auto"/>
        <w:rPr>
          <w:rFonts w:ascii="Marianne" w:eastAsia="Times New Roman" w:hAnsi="Marianne" w:cstheme="minorHAnsi"/>
          <w:sz w:val="20"/>
          <w:szCs w:val="20"/>
          <w:lang w:eastAsia="fr-FR"/>
        </w:rPr>
      </w:pPr>
    </w:p>
    <w:p>
      <w:pPr>
        <w:spacing w:line="240" w:lineRule="auto"/>
        <w:jc w:val="both"/>
        <w:rPr>
          <w:rFonts w:ascii="Marianne" w:hAnsi="Marianne" w:cstheme="minorHAnsi"/>
          <w:b/>
          <w:bCs/>
          <w:sz w:val="20"/>
          <w:szCs w:val="20"/>
        </w:rPr>
      </w:pPr>
      <w:r>
        <w:rPr>
          <w:rFonts w:ascii="Marianne" w:hAnsi="Marianne" w:cstheme="minorHAnsi"/>
          <w:b/>
          <w:bCs/>
          <w:sz w:val="20"/>
          <w:szCs w:val="20"/>
          <w:u w:val="single"/>
        </w:rPr>
        <w:t>PERFORMANCE ENVIRONNEMENTALE</w:t>
      </w:r>
      <w:r>
        <w:rPr>
          <w:rFonts w:ascii="Marianne" w:hAnsi="Marianne" w:cstheme="minorHAnsi"/>
          <w:b/>
          <w:bCs/>
          <w:sz w:val="20"/>
          <w:szCs w:val="20"/>
        </w:rPr>
        <w:t xml:space="preserve"> 10 % : </w:t>
      </w:r>
    </w:p>
    <w:p>
      <w:pPr>
        <w:spacing w:before="120" w:after="0" w:line="240" w:lineRule="auto"/>
        <w:jc w:val="both"/>
        <w:rPr>
          <w:rFonts w:ascii="Marianne" w:hAnsi="Marianne" w:cstheme="minorHAnsi"/>
          <w:b/>
          <w:bCs/>
          <w:sz w:val="20"/>
          <w:szCs w:val="20"/>
        </w:rPr>
      </w:pPr>
    </w:p>
    <w:p>
      <w:pPr>
        <w:spacing w:before="120" w:after="0" w:line="240" w:lineRule="auto"/>
        <w:jc w:val="both"/>
        <w:rPr>
          <w:rFonts w:ascii="Marianne" w:eastAsia="Arial" w:hAnsi="Marianne" w:cs="Arial"/>
          <w:b/>
          <w:bCs/>
          <w:color w:val="000000"/>
          <w:sz w:val="20"/>
          <w:szCs w:val="20"/>
          <w:shd w:val="clear" w:color="auto" w:fill="FFFFFF"/>
        </w:rPr>
      </w:pPr>
      <w:r>
        <w:rPr>
          <w:rFonts w:ascii="Marianne" w:eastAsia="Arial" w:hAnsi="Marianne" w:cs="Arial"/>
          <w:b/>
          <w:bCs/>
          <w:color w:val="000000"/>
          <w:sz w:val="20"/>
          <w:szCs w:val="20"/>
          <w:u w:val="single"/>
          <w:shd w:val="clear" w:color="auto" w:fill="FFFFFF"/>
        </w:rPr>
        <w:t xml:space="preserve">Sous-critère environnemental 1 -   </w:t>
      </w:r>
      <w:r>
        <w:rPr>
          <w:rFonts w:ascii="Marianne" w:eastAsia="Arial" w:hAnsi="Marianne" w:cs="Arial"/>
          <w:b/>
          <w:bCs/>
          <w:color w:val="000000"/>
          <w:sz w:val="20"/>
          <w:szCs w:val="20"/>
          <w:shd w:val="clear" w:color="auto" w:fill="FFFFFF"/>
        </w:rPr>
        <w:t xml:space="preserve"> : Proportion de produits écolabellisés – 6 points</w:t>
      </w:r>
    </w:p>
    <w:p>
      <w:pPr>
        <w:spacing w:before="120" w:after="0" w:line="240" w:lineRule="auto"/>
        <w:jc w:val="both"/>
        <w:rPr>
          <w:rFonts w:ascii="Marianne" w:eastAsia="Arial" w:hAnsi="Marianne" w:cs="Arial"/>
          <w:b/>
          <w:bCs/>
          <w:color w:val="000000"/>
          <w:sz w:val="20"/>
          <w:szCs w:val="20"/>
          <w:shd w:val="clear" w:color="auto" w:fill="FFFFFF"/>
        </w:rPr>
      </w:pPr>
    </w:p>
    <w:p>
      <w:pPr>
        <w:jc w:val="both"/>
        <w:rPr>
          <w:rFonts w:ascii="Marianne" w:hAnsi="Marianne"/>
          <w:sz w:val="20"/>
          <w:szCs w:val="20"/>
        </w:rPr>
      </w:pPr>
      <w:r>
        <w:rPr>
          <w:rFonts w:ascii="Marianne" w:hAnsi="Marianne"/>
          <w:sz w:val="20"/>
          <w:szCs w:val="20"/>
        </w:rPr>
        <w:lastRenderedPageBreak/>
        <w:t xml:space="preserve">Le candidat est évalué au regard de sa capacité à proposer des références labellisées Ecolabel Européen, NF environnement, Level, Nordic Swan, Blue Angel ou équivalent. </w:t>
      </w:r>
    </w:p>
    <w:p>
      <w:pPr>
        <w:jc w:val="both"/>
        <w:rPr>
          <w:rFonts w:ascii="Marianne" w:hAnsi="Marianne"/>
          <w:sz w:val="20"/>
          <w:szCs w:val="20"/>
        </w:rPr>
      </w:pPr>
      <w:r>
        <w:rPr>
          <w:rFonts w:ascii="Marianne" w:hAnsi="Marianne"/>
          <w:sz w:val="20"/>
          <w:szCs w:val="20"/>
        </w:rPr>
        <w:t xml:space="preserve">Le candidat précise dans l’annexe 1 financière « BPU » </w:t>
      </w:r>
      <w:r>
        <w:rPr>
          <w:rFonts w:ascii="Marianne" w:hAnsi="Marianne"/>
          <w:i/>
          <w:iCs/>
          <w:sz w:val="20"/>
          <w:szCs w:val="20"/>
        </w:rPr>
        <w:t>en colonne T</w:t>
      </w:r>
      <w:r>
        <w:rPr>
          <w:rFonts w:ascii="Marianne" w:hAnsi="Marianne"/>
          <w:sz w:val="20"/>
          <w:szCs w:val="20"/>
        </w:rPr>
        <w:t xml:space="preserve"> l’écolabel du produit parmi la liste déroulante. </w:t>
      </w:r>
    </w:p>
    <w:p>
      <w:pPr>
        <w:jc w:val="both"/>
        <w:rPr>
          <w:rFonts w:ascii="Marianne" w:hAnsi="Marianne"/>
          <w:sz w:val="20"/>
          <w:szCs w:val="20"/>
        </w:rPr>
      </w:pPr>
      <w:r>
        <w:rPr>
          <w:rFonts w:ascii="Marianne" w:hAnsi="Marianne"/>
          <w:sz w:val="20"/>
          <w:szCs w:val="20"/>
        </w:rPr>
        <w:t xml:space="preserve">Dans le cas où le produit dispose de plusieurs écolabels ou équivalent parmi ceux proposés dans la liste déroulante, le candidat sélectionne uniquement un écolabel en privilégiant l’Ecolabel Européen.    </w:t>
      </w:r>
    </w:p>
    <w:p>
      <w:pPr>
        <w:jc w:val="both"/>
        <w:rPr>
          <w:rFonts w:ascii="Marianne" w:hAnsi="Marianne"/>
          <w:sz w:val="20"/>
          <w:szCs w:val="20"/>
        </w:rPr>
      </w:pPr>
      <w:r>
        <w:rPr>
          <w:rFonts w:ascii="Marianne" w:hAnsi="Marianne"/>
          <w:sz w:val="20"/>
          <w:szCs w:val="20"/>
        </w:rPr>
        <w:t xml:space="preserve">Le candidat fournit, pour chaque produit écolabellisé un moyen de preuve associé valide et provenant d’un organisme tiers habilité à certifier le produit : </w:t>
      </w:r>
    </w:p>
    <w:p>
      <w:pPr>
        <w:pStyle w:val="Paragraphedeliste"/>
        <w:numPr>
          <w:ilvl w:val="0"/>
          <w:numId w:val="1"/>
        </w:numPr>
        <w:jc w:val="both"/>
        <w:rPr>
          <w:rFonts w:ascii="Marianne" w:hAnsi="Marianne"/>
          <w:sz w:val="20"/>
          <w:szCs w:val="20"/>
        </w:rPr>
      </w:pPr>
      <w:r>
        <w:rPr>
          <w:rFonts w:ascii="Marianne" w:hAnsi="Marianne"/>
          <w:sz w:val="20"/>
          <w:szCs w:val="20"/>
        </w:rPr>
        <w:t xml:space="preserve">attestation de labélisation associée au produit en cours de validité ou à la gamme* de produits en cours de validité. </w:t>
      </w:r>
    </w:p>
    <w:p>
      <w:pPr>
        <w:pStyle w:val="Paragraphedeliste"/>
        <w:numPr>
          <w:ilvl w:val="0"/>
          <w:numId w:val="1"/>
        </w:numPr>
        <w:jc w:val="both"/>
        <w:rPr>
          <w:rFonts w:ascii="Marianne" w:hAnsi="Marianne"/>
          <w:sz w:val="20"/>
          <w:szCs w:val="20"/>
        </w:rPr>
      </w:pPr>
      <w:r>
        <w:rPr>
          <w:rFonts w:ascii="Marianne" w:hAnsi="Marianne"/>
          <w:sz w:val="20"/>
          <w:szCs w:val="20"/>
        </w:rPr>
        <w:t xml:space="preserve">attestation de l’organisme de certification au produit ou à la gamme* de produit en cours de validité.  </w:t>
      </w:r>
    </w:p>
    <w:p>
      <w:pPr>
        <w:jc w:val="both"/>
        <w:rPr>
          <w:rFonts w:ascii="Marianne" w:hAnsi="Marianne"/>
          <w:sz w:val="20"/>
          <w:szCs w:val="20"/>
        </w:rPr>
      </w:pPr>
      <w:r>
        <w:rPr>
          <w:rFonts w:ascii="Marianne" w:hAnsi="Marianne"/>
          <w:sz w:val="20"/>
          <w:szCs w:val="20"/>
        </w:rPr>
        <w:t xml:space="preserve">*en cas d’attestation à la gamme de produit, les produits attestés et indiqués comme labelisés dans l’annexe 1 financière « BPU » devront figurer dans l’attestation. </w:t>
      </w:r>
    </w:p>
    <w:p>
      <w:pPr>
        <w:jc w:val="both"/>
        <w:rPr>
          <w:rFonts w:ascii="Marianne" w:hAnsi="Marianne" w:cstheme="minorHAnsi"/>
          <w:b/>
          <w:bCs/>
          <w:sz w:val="20"/>
          <w:szCs w:val="20"/>
        </w:rPr>
      </w:pPr>
      <w:r>
        <w:rPr>
          <w:rFonts w:ascii="Marianne" w:hAnsi="Marianne"/>
          <w:sz w:val="20"/>
          <w:szCs w:val="20"/>
        </w:rPr>
        <w:t xml:space="preserve">Dans le cas où aucun justificatif n’est communiqué lorsque le candidat indique l’existence d’un écolabel ou si une anomalie dans les justificatifs associés est identifiée, alors le candidat se verra attribuer la note de 0 à ce sous-critère. </w:t>
      </w:r>
    </w:p>
    <w:p>
      <w:pPr>
        <w:spacing w:line="240" w:lineRule="auto"/>
        <w:jc w:val="both"/>
        <w:rPr>
          <w:rFonts w:ascii="Marianne" w:hAnsi="Marianne" w:cstheme="minorHAnsi"/>
          <w:b/>
          <w:bCs/>
          <w:sz w:val="20"/>
          <w:szCs w:val="20"/>
        </w:rPr>
      </w:pPr>
    </w:p>
    <w:p>
      <w:pPr>
        <w:spacing w:before="120" w:after="0" w:line="240" w:lineRule="auto"/>
        <w:jc w:val="both"/>
        <w:rPr>
          <w:rFonts w:ascii="Marianne" w:hAnsi="Marianne"/>
          <w:sz w:val="20"/>
          <w:szCs w:val="20"/>
        </w:rPr>
      </w:pPr>
      <w:r>
        <w:rPr>
          <w:rFonts w:ascii="Marianne" w:hAnsi="Marianne"/>
          <w:b/>
          <w:bCs/>
          <w:sz w:val="20"/>
          <w:szCs w:val="20"/>
          <w:u w:val="single"/>
        </w:rPr>
        <w:t>Sous-critère environnemental 2  - 4 points</w:t>
      </w:r>
      <w:r>
        <w:rPr>
          <w:rFonts w:ascii="Marianne" w:hAnsi="Marianne"/>
          <w:sz w:val="20"/>
          <w:szCs w:val="20"/>
        </w:rPr>
        <w:t xml:space="preserve">: </w:t>
      </w:r>
      <w:r>
        <w:rPr>
          <w:rFonts w:ascii="Marianne" w:hAnsi="Marianne"/>
          <w:b/>
          <w:bCs/>
          <w:sz w:val="20"/>
          <w:szCs w:val="20"/>
        </w:rPr>
        <w:t>Dispositif de communication et de sensibilisation des bénéficiaires au choix de produits écoresponsables et au réemploi</w:t>
      </w:r>
    </w:p>
    <w:p>
      <w:pPr>
        <w:jc w:val="both"/>
        <w:rPr>
          <w:rFonts w:ascii="Marianne" w:hAnsi="Marianne"/>
          <w:sz w:val="20"/>
          <w:szCs w:val="20"/>
        </w:rPr>
      </w:pPr>
    </w:p>
    <w:p>
      <w:pPr>
        <w:jc w:val="both"/>
        <w:rPr>
          <w:rFonts w:ascii="Marianne" w:hAnsi="Marianne"/>
          <w:sz w:val="20"/>
          <w:szCs w:val="20"/>
        </w:rPr>
      </w:pPr>
      <w:r>
        <w:rPr>
          <w:rFonts w:ascii="Marianne" w:hAnsi="Marianne"/>
          <w:sz w:val="20"/>
          <w:szCs w:val="20"/>
        </w:rPr>
        <w:t xml:space="preserve">Le présent sous-critère vise à apprécier l’engagement du candidat en matière de communication et de sensibilisation des bénéficiaires au choix de produits écoresponsables tels que définis à l’article 3.3.1 du CCTP. </w:t>
      </w:r>
    </w:p>
    <w:p>
      <w:pPr>
        <w:jc w:val="both"/>
        <w:rPr>
          <w:rFonts w:ascii="Marianne" w:hAnsi="Marianne"/>
          <w:sz w:val="20"/>
          <w:szCs w:val="20"/>
        </w:rPr>
      </w:pPr>
      <w:r>
        <w:rPr>
          <w:rFonts w:ascii="Marianne" w:hAnsi="Marianne"/>
          <w:sz w:val="20"/>
          <w:szCs w:val="20"/>
        </w:rPr>
        <w:t>Le candidat précise ainsi un plan d’actions de communication et de sensibilisation (en détaillant notamment les supports de communication associés et les canaux de diffusion envisagés pour assurer la diffusion auprès des bénéficiaires) visant à augmenter le taux de commandes des produits écolabellisés qu’il s’engage à mettre en œuvre chaque année pendant la durée du marché </w:t>
      </w:r>
    </w:p>
    <w:p>
      <w:pPr>
        <w:spacing w:line="240" w:lineRule="auto"/>
        <w:rPr>
          <w:rFonts w:ascii="Marianne" w:hAnsi="Marianne" w:cstheme="minorHAnsi"/>
          <w:sz w:val="20"/>
          <w:szCs w:val="20"/>
        </w:rPr>
      </w:pPr>
    </w:p>
    <w:sectPr>
      <w:footerReference w:type="defaul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auto"/>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r>
      <w:t>--------------------------------------------------------------------------------------------------------------------------------------</w:t>
    </w:r>
  </w:p>
  <w:p>
    <w:pPr>
      <w:pStyle w:val="Pieddepage"/>
    </w:pPr>
    <w:r>
      <w:t>RC_</w:t>
    </w:r>
    <w:r>
      <w:rPr>
        <w:rFonts w:ascii="Marianne" w:hAnsi="Marianne" w:cs="Arial"/>
        <w:color w:val="4472C4" w:themeColor="accent1"/>
        <w:szCs w:val="20"/>
      </w:rPr>
      <w:t xml:space="preserve"> </w:t>
    </w:r>
    <w:r>
      <w:t>AC_DAE_OQSMC_2026</w:t>
    </w:r>
    <w:r>
      <w:rPr>
        <w:rFonts w:ascii="Arial" w:hAnsi="Arial" w:cs="Arial"/>
        <w:bCs/>
        <w:sz w:val="16"/>
        <w:szCs w:val="16"/>
      </w:rPr>
      <w:t xml:space="preserve"> // Annexe 1 – Mémoire Technique </w:t>
    </w:r>
  </w:p>
  <w:p>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19B8"/>
    <w:multiLevelType w:val="hybridMultilevel"/>
    <w:tmpl w:val="D81888B0"/>
    <w:lvl w:ilvl="0" w:tplc="04048FC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8290CD1"/>
    <w:multiLevelType w:val="multilevel"/>
    <w:tmpl w:val="C80AD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A1104C"/>
    <w:multiLevelType w:val="hybridMultilevel"/>
    <w:tmpl w:val="B6EC086A"/>
    <w:lvl w:ilvl="0" w:tplc="F364CD0A">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3DE377EA"/>
    <w:multiLevelType w:val="hybridMultilevel"/>
    <w:tmpl w:val="60B207D8"/>
    <w:lvl w:ilvl="0" w:tplc="9450665C">
      <w:numFmt w:val="bullet"/>
      <w:lvlText w:val="-"/>
      <w:lvlJc w:val="left"/>
      <w:pPr>
        <w:ind w:left="1777" w:hanging="360"/>
      </w:pPr>
      <w:rPr>
        <w:rFonts w:ascii="Calibri" w:eastAsiaTheme="minorHAnsi" w:hAnsi="Calibri" w:cs="Calibri" w:hint="default"/>
      </w:rPr>
    </w:lvl>
    <w:lvl w:ilvl="1" w:tplc="040C0003" w:tentative="1">
      <w:start w:val="1"/>
      <w:numFmt w:val="bullet"/>
      <w:lvlText w:val="o"/>
      <w:lvlJc w:val="left"/>
      <w:pPr>
        <w:ind w:left="1014" w:hanging="360"/>
      </w:pPr>
      <w:rPr>
        <w:rFonts w:ascii="Courier New" w:hAnsi="Courier New" w:cs="Courier New" w:hint="default"/>
      </w:rPr>
    </w:lvl>
    <w:lvl w:ilvl="2" w:tplc="040C0005" w:tentative="1">
      <w:start w:val="1"/>
      <w:numFmt w:val="bullet"/>
      <w:lvlText w:val=""/>
      <w:lvlJc w:val="left"/>
      <w:pPr>
        <w:ind w:left="1734" w:hanging="360"/>
      </w:pPr>
      <w:rPr>
        <w:rFonts w:ascii="Wingdings" w:hAnsi="Wingdings" w:hint="default"/>
      </w:rPr>
    </w:lvl>
    <w:lvl w:ilvl="3" w:tplc="040C0001" w:tentative="1">
      <w:start w:val="1"/>
      <w:numFmt w:val="bullet"/>
      <w:lvlText w:val=""/>
      <w:lvlJc w:val="left"/>
      <w:pPr>
        <w:ind w:left="2454" w:hanging="360"/>
      </w:pPr>
      <w:rPr>
        <w:rFonts w:ascii="Symbol" w:hAnsi="Symbol" w:hint="default"/>
      </w:rPr>
    </w:lvl>
    <w:lvl w:ilvl="4" w:tplc="040C0003" w:tentative="1">
      <w:start w:val="1"/>
      <w:numFmt w:val="bullet"/>
      <w:lvlText w:val="o"/>
      <w:lvlJc w:val="left"/>
      <w:pPr>
        <w:ind w:left="3174" w:hanging="360"/>
      </w:pPr>
      <w:rPr>
        <w:rFonts w:ascii="Courier New" w:hAnsi="Courier New" w:cs="Courier New" w:hint="default"/>
      </w:rPr>
    </w:lvl>
    <w:lvl w:ilvl="5" w:tplc="040C0005" w:tentative="1">
      <w:start w:val="1"/>
      <w:numFmt w:val="bullet"/>
      <w:lvlText w:val=""/>
      <w:lvlJc w:val="left"/>
      <w:pPr>
        <w:ind w:left="3894" w:hanging="360"/>
      </w:pPr>
      <w:rPr>
        <w:rFonts w:ascii="Wingdings" w:hAnsi="Wingdings" w:hint="default"/>
      </w:rPr>
    </w:lvl>
    <w:lvl w:ilvl="6" w:tplc="040C0001" w:tentative="1">
      <w:start w:val="1"/>
      <w:numFmt w:val="bullet"/>
      <w:lvlText w:val=""/>
      <w:lvlJc w:val="left"/>
      <w:pPr>
        <w:ind w:left="4614" w:hanging="360"/>
      </w:pPr>
      <w:rPr>
        <w:rFonts w:ascii="Symbol" w:hAnsi="Symbol" w:hint="default"/>
      </w:rPr>
    </w:lvl>
    <w:lvl w:ilvl="7" w:tplc="040C0003" w:tentative="1">
      <w:start w:val="1"/>
      <w:numFmt w:val="bullet"/>
      <w:lvlText w:val="o"/>
      <w:lvlJc w:val="left"/>
      <w:pPr>
        <w:ind w:left="5334" w:hanging="360"/>
      </w:pPr>
      <w:rPr>
        <w:rFonts w:ascii="Courier New" w:hAnsi="Courier New" w:cs="Courier New" w:hint="default"/>
      </w:rPr>
    </w:lvl>
    <w:lvl w:ilvl="8" w:tplc="040C0005" w:tentative="1">
      <w:start w:val="1"/>
      <w:numFmt w:val="bullet"/>
      <w:lvlText w:val=""/>
      <w:lvlJc w:val="left"/>
      <w:pPr>
        <w:ind w:left="6054" w:hanging="360"/>
      </w:pPr>
      <w:rPr>
        <w:rFonts w:ascii="Wingdings" w:hAnsi="Wingdings" w:hint="default"/>
      </w:rPr>
    </w:lvl>
  </w:abstractNum>
  <w:abstractNum w:abstractNumId="4" w15:restartNumberingAfterBreak="0">
    <w:nsid w:val="48ED754A"/>
    <w:multiLevelType w:val="hybridMultilevel"/>
    <w:tmpl w:val="FA70570E"/>
    <w:lvl w:ilvl="0" w:tplc="66E03B0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B8B4D4B"/>
    <w:multiLevelType w:val="multilevel"/>
    <w:tmpl w:val="F46C8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23E57CA"/>
    <w:multiLevelType w:val="hybridMultilevel"/>
    <w:tmpl w:val="43EACE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0330FF-F403-42FD-AC21-2FF3CA098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pPr>
      <w:ind w:left="720"/>
      <w:contextualSpacing/>
    </w:p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character" w:styleId="Marquedecommentaire">
    <w:name w:val="annotation reference"/>
    <w:basedOn w:val="Policepardfaut"/>
    <w:uiPriority w:val="99"/>
    <w:semiHidden/>
    <w:unhideWhenUsed/>
    <w:qFormat/>
    <w:rPr>
      <w:sz w:val="16"/>
      <w:szCs w:val="16"/>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qFormat/>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paragraph" w:styleId="NormalWeb">
    <w:name w:val="Normal (Web)"/>
    <w:basedOn w:val="Normal"/>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Pr>
      <w:b/>
      <w:bCs/>
    </w:rPr>
  </w:style>
  <w:style w:type="paragraph" w:customStyle="1" w:styleId="isselectedend">
    <w:name w:val="isselectedend"/>
    <w:basedOn w:val="Normal"/>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7050363">
      <w:bodyDiv w:val="1"/>
      <w:marLeft w:val="0"/>
      <w:marRight w:val="0"/>
      <w:marTop w:val="0"/>
      <w:marBottom w:val="0"/>
      <w:divBdr>
        <w:top w:val="none" w:sz="0" w:space="0" w:color="auto"/>
        <w:left w:val="none" w:sz="0" w:space="0" w:color="auto"/>
        <w:bottom w:val="none" w:sz="0" w:space="0" w:color="auto"/>
        <w:right w:val="none" w:sz="0" w:space="0" w:color="auto"/>
      </w:divBdr>
    </w:div>
    <w:div w:id="900479940">
      <w:bodyDiv w:val="1"/>
      <w:marLeft w:val="0"/>
      <w:marRight w:val="0"/>
      <w:marTop w:val="0"/>
      <w:marBottom w:val="0"/>
      <w:divBdr>
        <w:top w:val="none" w:sz="0" w:space="0" w:color="auto"/>
        <w:left w:val="none" w:sz="0" w:space="0" w:color="auto"/>
        <w:bottom w:val="none" w:sz="0" w:space="0" w:color="auto"/>
        <w:right w:val="none" w:sz="0" w:space="0" w:color="auto"/>
      </w:divBdr>
    </w:div>
    <w:div w:id="1120143897">
      <w:bodyDiv w:val="1"/>
      <w:marLeft w:val="0"/>
      <w:marRight w:val="0"/>
      <w:marTop w:val="0"/>
      <w:marBottom w:val="0"/>
      <w:divBdr>
        <w:top w:val="none" w:sz="0" w:space="0" w:color="auto"/>
        <w:left w:val="none" w:sz="0" w:space="0" w:color="auto"/>
        <w:bottom w:val="none" w:sz="0" w:space="0" w:color="auto"/>
        <w:right w:val="none" w:sz="0" w:space="0" w:color="auto"/>
      </w:divBdr>
    </w:div>
    <w:div w:id="1135443104">
      <w:bodyDiv w:val="1"/>
      <w:marLeft w:val="0"/>
      <w:marRight w:val="0"/>
      <w:marTop w:val="0"/>
      <w:marBottom w:val="0"/>
      <w:divBdr>
        <w:top w:val="none" w:sz="0" w:space="0" w:color="auto"/>
        <w:left w:val="none" w:sz="0" w:space="0" w:color="auto"/>
        <w:bottom w:val="none" w:sz="0" w:space="0" w:color="auto"/>
        <w:right w:val="none" w:sz="0" w:space="0" w:color="auto"/>
      </w:divBdr>
    </w:div>
    <w:div w:id="1149784069">
      <w:bodyDiv w:val="1"/>
      <w:marLeft w:val="0"/>
      <w:marRight w:val="0"/>
      <w:marTop w:val="0"/>
      <w:marBottom w:val="0"/>
      <w:divBdr>
        <w:top w:val="none" w:sz="0" w:space="0" w:color="auto"/>
        <w:left w:val="none" w:sz="0" w:space="0" w:color="auto"/>
        <w:bottom w:val="none" w:sz="0" w:space="0" w:color="auto"/>
        <w:right w:val="none" w:sz="0" w:space="0" w:color="auto"/>
      </w:divBdr>
    </w:div>
    <w:div w:id="1209490733">
      <w:bodyDiv w:val="1"/>
      <w:marLeft w:val="0"/>
      <w:marRight w:val="0"/>
      <w:marTop w:val="0"/>
      <w:marBottom w:val="0"/>
      <w:divBdr>
        <w:top w:val="none" w:sz="0" w:space="0" w:color="auto"/>
        <w:left w:val="none" w:sz="0" w:space="0" w:color="auto"/>
        <w:bottom w:val="none" w:sz="0" w:space="0" w:color="auto"/>
        <w:right w:val="none" w:sz="0" w:space="0" w:color="auto"/>
      </w:divBdr>
    </w:div>
    <w:div w:id="1224028697">
      <w:bodyDiv w:val="1"/>
      <w:marLeft w:val="0"/>
      <w:marRight w:val="0"/>
      <w:marTop w:val="0"/>
      <w:marBottom w:val="0"/>
      <w:divBdr>
        <w:top w:val="none" w:sz="0" w:space="0" w:color="auto"/>
        <w:left w:val="none" w:sz="0" w:space="0" w:color="auto"/>
        <w:bottom w:val="none" w:sz="0" w:space="0" w:color="auto"/>
        <w:right w:val="none" w:sz="0" w:space="0" w:color="auto"/>
      </w:divBdr>
    </w:div>
    <w:div w:id="1252936616">
      <w:bodyDiv w:val="1"/>
      <w:marLeft w:val="0"/>
      <w:marRight w:val="0"/>
      <w:marTop w:val="0"/>
      <w:marBottom w:val="0"/>
      <w:divBdr>
        <w:top w:val="none" w:sz="0" w:space="0" w:color="auto"/>
        <w:left w:val="none" w:sz="0" w:space="0" w:color="auto"/>
        <w:bottom w:val="none" w:sz="0" w:space="0" w:color="auto"/>
        <w:right w:val="none" w:sz="0" w:space="0" w:color="auto"/>
      </w:divBdr>
    </w:div>
    <w:div w:id="1556090583">
      <w:bodyDiv w:val="1"/>
      <w:marLeft w:val="0"/>
      <w:marRight w:val="0"/>
      <w:marTop w:val="0"/>
      <w:marBottom w:val="0"/>
      <w:divBdr>
        <w:top w:val="none" w:sz="0" w:space="0" w:color="auto"/>
        <w:left w:val="none" w:sz="0" w:space="0" w:color="auto"/>
        <w:bottom w:val="none" w:sz="0" w:space="0" w:color="auto"/>
        <w:right w:val="none" w:sz="0" w:space="0" w:color="auto"/>
      </w:divBdr>
    </w:div>
    <w:div w:id="1659727077">
      <w:bodyDiv w:val="1"/>
      <w:marLeft w:val="0"/>
      <w:marRight w:val="0"/>
      <w:marTop w:val="0"/>
      <w:marBottom w:val="0"/>
      <w:divBdr>
        <w:top w:val="none" w:sz="0" w:space="0" w:color="auto"/>
        <w:left w:val="none" w:sz="0" w:space="0" w:color="auto"/>
        <w:bottom w:val="none" w:sz="0" w:space="0" w:color="auto"/>
        <w:right w:val="none" w:sz="0" w:space="0" w:color="auto"/>
      </w:divBdr>
    </w:div>
    <w:div w:id="1694499418">
      <w:bodyDiv w:val="1"/>
      <w:marLeft w:val="0"/>
      <w:marRight w:val="0"/>
      <w:marTop w:val="0"/>
      <w:marBottom w:val="0"/>
      <w:divBdr>
        <w:top w:val="none" w:sz="0" w:space="0" w:color="auto"/>
        <w:left w:val="none" w:sz="0" w:space="0" w:color="auto"/>
        <w:bottom w:val="none" w:sz="0" w:space="0" w:color="auto"/>
        <w:right w:val="none" w:sz="0" w:space="0" w:color="auto"/>
      </w:divBdr>
    </w:div>
    <w:div w:id="1759137319">
      <w:bodyDiv w:val="1"/>
      <w:marLeft w:val="0"/>
      <w:marRight w:val="0"/>
      <w:marTop w:val="0"/>
      <w:marBottom w:val="0"/>
      <w:divBdr>
        <w:top w:val="none" w:sz="0" w:space="0" w:color="auto"/>
        <w:left w:val="none" w:sz="0" w:space="0" w:color="auto"/>
        <w:bottom w:val="none" w:sz="0" w:space="0" w:color="auto"/>
        <w:right w:val="none" w:sz="0" w:space="0" w:color="auto"/>
      </w:divBdr>
    </w:div>
    <w:div w:id="1766874951">
      <w:bodyDiv w:val="1"/>
      <w:marLeft w:val="0"/>
      <w:marRight w:val="0"/>
      <w:marTop w:val="0"/>
      <w:marBottom w:val="0"/>
      <w:divBdr>
        <w:top w:val="none" w:sz="0" w:space="0" w:color="auto"/>
        <w:left w:val="none" w:sz="0" w:space="0" w:color="auto"/>
        <w:bottom w:val="none" w:sz="0" w:space="0" w:color="auto"/>
        <w:right w:val="none" w:sz="0" w:space="0" w:color="auto"/>
      </w:divBdr>
    </w:div>
    <w:div w:id="1778255220">
      <w:bodyDiv w:val="1"/>
      <w:marLeft w:val="0"/>
      <w:marRight w:val="0"/>
      <w:marTop w:val="0"/>
      <w:marBottom w:val="0"/>
      <w:divBdr>
        <w:top w:val="none" w:sz="0" w:space="0" w:color="auto"/>
        <w:left w:val="none" w:sz="0" w:space="0" w:color="auto"/>
        <w:bottom w:val="none" w:sz="0" w:space="0" w:color="auto"/>
        <w:right w:val="none" w:sz="0" w:space="0" w:color="auto"/>
      </w:divBdr>
    </w:div>
    <w:div w:id="2061325823">
      <w:bodyDiv w:val="1"/>
      <w:marLeft w:val="0"/>
      <w:marRight w:val="0"/>
      <w:marTop w:val="0"/>
      <w:marBottom w:val="0"/>
      <w:divBdr>
        <w:top w:val="none" w:sz="0" w:space="0" w:color="auto"/>
        <w:left w:val="none" w:sz="0" w:space="0" w:color="auto"/>
        <w:bottom w:val="none" w:sz="0" w:space="0" w:color="auto"/>
        <w:right w:val="none" w:sz="0" w:space="0" w:color="auto"/>
      </w:divBdr>
    </w:div>
    <w:div w:id="213602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1083</Words>
  <Characters>5958</Characters>
  <Application>Microsoft Office Word</Application>
  <DocSecurity>0</DocSecurity>
  <Lines>49</Lines>
  <Paragraphs>14</Paragraphs>
  <ScaleCrop>false</ScaleCrop>
  <HeadingPairs>
    <vt:vector size="2" baseType="variant">
      <vt:variant>
        <vt:lpstr>Titre</vt:lpstr>
      </vt:variant>
      <vt:variant>
        <vt:i4>1</vt:i4>
      </vt:variant>
    </vt:vector>
  </HeadingPairs>
  <TitlesOfParts>
    <vt:vector size="1" baseType="lpstr">
      <vt:lpstr/>
    </vt:vector>
  </TitlesOfParts>
  <Company>Ministere Finances</Company>
  <LinksUpToDate>false</LinksUpToDate>
  <CharactersWithSpaces>7027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BASTRY Karine</dc:creator>
  <cp:keywords/>
  <dc:description/>
  <cp:lastModifiedBy>DE CARVALHO Vanessa</cp:lastModifiedBy>
  <cp:revision>6</cp:revision>
  <dcterms:created xsi:type="dcterms:W3CDTF">2026-07-08T13:09:00Z</dcterms:created>
  <dcterms:modified xsi:type="dcterms:W3CDTF">2026-07-15T09:08:00Z</dcterms:modified>
</cp:coreProperties>
</file>